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22" w:rsidRDefault="003C4122" w:rsidP="003C4122">
      <w:pPr>
        <w:pStyle w:val="NormalnyWeb"/>
        <w:spacing w:beforeAutospacing="0" w:after="0"/>
      </w:pPr>
      <w:r>
        <w:rPr>
          <w:b/>
          <w:bCs/>
          <w:sz w:val="23"/>
          <w:szCs w:val="23"/>
        </w:rPr>
        <w:t xml:space="preserve">       </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t>
      </w:r>
      <w:r>
        <w:rPr>
          <w:b/>
          <w:bCs/>
          <w:sz w:val="23"/>
          <w:szCs w:val="23"/>
        </w:rPr>
        <w:tab/>
      </w:r>
      <w:r>
        <w:rPr>
          <w:bCs/>
          <w:sz w:val="23"/>
          <w:szCs w:val="23"/>
        </w:rPr>
        <w:t>Cybinka, dnia 07.06.2021 roku</w:t>
      </w:r>
    </w:p>
    <w:p w:rsidR="003C4122" w:rsidRDefault="003C4122" w:rsidP="003C4122">
      <w:pPr>
        <w:pStyle w:val="NormalnyWeb"/>
        <w:spacing w:beforeAutospacing="0" w:after="0"/>
        <w:rPr>
          <w:bCs/>
          <w:sz w:val="23"/>
          <w:szCs w:val="23"/>
        </w:rPr>
      </w:pPr>
    </w:p>
    <w:p w:rsidR="003C4122" w:rsidRDefault="003C4122" w:rsidP="003C4122">
      <w:pPr>
        <w:pStyle w:val="NormalnyWeb"/>
        <w:spacing w:beforeAutospacing="0" w:after="0"/>
        <w:rPr>
          <w:b/>
          <w:bCs/>
          <w:sz w:val="23"/>
          <w:szCs w:val="23"/>
        </w:rPr>
      </w:pPr>
    </w:p>
    <w:p w:rsidR="003C4122" w:rsidRDefault="003C4122" w:rsidP="003C4122">
      <w:pPr>
        <w:pStyle w:val="NormalnyWeb"/>
        <w:spacing w:beforeAutospacing="0" w:after="0"/>
        <w:jc w:val="center"/>
        <w:rPr>
          <w:sz w:val="23"/>
          <w:szCs w:val="23"/>
        </w:rPr>
      </w:pPr>
      <w:r>
        <w:rPr>
          <w:b/>
          <w:bCs/>
          <w:sz w:val="23"/>
          <w:szCs w:val="23"/>
        </w:rPr>
        <w:t>BURMISTRZ CYBINKI</w:t>
      </w:r>
    </w:p>
    <w:p w:rsidR="003C4122" w:rsidRDefault="003C4122" w:rsidP="003C4122">
      <w:pPr>
        <w:pStyle w:val="NormalnyWeb"/>
        <w:spacing w:beforeAutospacing="0" w:after="0"/>
        <w:jc w:val="center"/>
        <w:rPr>
          <w:sz w:val="23"/>
          <w:szCs w:val="23"/>
        </w:rPr>
      </w:pPr>
      <w:r>
        <w:rPr>
          <w:b/>
          <w:bCs/>
          <w:sz w:val="23"/>
          <w:szCs w:val="23"/>
        </w:rPr>
        <w:t>O G Ł A S Z A</w:t>
      </w:r>
    </w:p>
    <w:p w:rsidR="003C4122" w:rsidRDefault="003C4122" w:rsidP="003C4122">
      <w:pPr>
        <w:pStyle w:val="NormalnyWeb"/>
        <w:spacing w:beforeAutospacing="0" w:after="0"/>
        <w:jc w:val="center"/>
      </w:pPr>
      <w:r>
        <w:rPr>
          <w:b/>
          <w:sz w:val="23"/>
          <w:szCs w:val="23"/>
        </w:rPr>
        <w:t>I USTNY PRZETARG NIEOGRANICZONY</w:t>
      </w:r>
    </w:p>
    <w:p w:rsidR="003C4122" w:rsidRDefault="003C4122" w:rsidP="003C4122">
      <w:pPr>
        <w:pStyle w:val="NormalnyWeb"/>
        <w:spacing w:beforeAutospacing="0" w:after="0"/>
        <w:jc w:val="center"/>
        <w:rPr>
          <w:b/>
          <w:sz w:val="23"/>
          <w:szCs w:val="23"/>
        </w:rPr>
      </w:pPr>
    </w:p>
    <w:p w:rsidR="003C4122" w:rsidRDefault="003C4122" w:rsidP="003C4122">
      <w:pPr>
        <w:pStyle w:val="NormalnyWeb"/>
        <w:spacing w:beforeAutospacing="0" w:after="0"/>
        <w:jc w:val="center"/>
      </w:pPr>
      <w:r>
        <w:rPr>
          <w:sz w:val="23"/>
          <w:szCs w:val="23"/>
        </w:rPr>
        <w:t xml:space="preserve">na dzierżawę działki gruntu niezabudowanego na okres do </w:t>
      </w:r>
      <w:r w:rsidR="008178C7">
        <w:rPr>
          <w:sz w:val="23"/>
          <w:szCs w:val="23"/>
        </w:rPr>
        <w:t>5</w:t>
      </w:r>
      <w:r>
        <w:rPr>
          <w:sz w:val="23"/>
          <w:szCs w:val="23"/>
        </w:rPr>
        <w:t xml:space="preserve"> z przeznaczeniem na cele rolnicze</w:t>
      </w:r>
    </w:p>
    <w:p w:rsidR="003C4122" w:rsidRDefault="003C4122" w:rsidP="003C4122">
      <w:pPr>
        <w:pStyle w:val="NormalnyWeb"/>
        <w:spacing w:beforeAutospacing="0" w:after="0"/>
        <w:jc w:val="center"/>
        <w:rPr>
          <w:sz w:val="23"/>
          <w:szCs w:val="23"/>
        </w:rPr>
      </w:pPr>
    </w:p>
    <w:tbl>
      <w:tblPr>
        <w:tblW w:w="9168" w:type="dxa"/>
        <w:tblInd w:w="-141"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60" w:type="dxa"/>
          <w:left w:w="-9" w:type="dxa"/>
          <w:bottom w:w="60" w:type="dxa"/>
          <w:right w:w="60" w:type="dxa"/>
        </w:tblCellMar>
        <w:tblLook w:val="0000" w:firstRow="0" w:lastRow="0" w:firstColumn="0" w:lastColumn="0" w:noHBand="0" w:noVBand="0"/>
      </w:tblPr>
      <w:tblGrid>
        <w:gridCol w:w="321"/>
        <w:gridCol w:w="852"/>
        <w:gridCol w:w="897"/>
        <w:gridCol w:w="1184"/>
        <w:gridCol w:w="1076"/>
        <w:gridCol w:w="1642"/>
        <w:gridCol w:w="2089"/>
        <w:gridCol w:w="1107"/>
      </w:tblGrid>
      <w:tr w:rsidR="008178C7" w:rsidTr="00FE624D">
        <w:trPr>
          <w:trHeight w:val="904"/>
          <w:tblHeader/>
        </w:trPr>
        <w:tc>
          <w:tcPr>
            <w:tcW w:w="321"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proofErr w:type="spellStart"/>
            <w:r>
              <w:rPr>
                <w:b/>
                <w:sz w:val="22"/>
              </w:rPr>
              <w:t>Lp</w:t>
            </w:r>
            <w:proofErr w:type="spellEnd"/>
          </w:p>
        </w:tc>
        <w:tc>
          <w:tcPr>
            <w:tcW w:w="85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Numer</w:t>
            </w:r>
          </w:p>
          <w:p w:rsidR="003C4122" w:rsidRDefault="003C4122" w:rsidP="00FE624D">
            <w:pPr>
              <w:jc w:val="center"/>
              <w:rPr>
                <w:b/>
                <w:sz w:val="22"/>
              </w:rPr>
            </w:pPr>
            <w:r>
              <w:rPr>
                <w:b/>
                <w:sz w:val="22"/>
              </w:rPr>
              <w:t>działki</w:t>
            </w:r>
          </w:p>
        </w:tc>
        <w:tc>
          <w:tcPr>
            <w:tcW w:w="897"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Pow.</w:t>
            </w:r>
            <w:r>
              <w:rPr>
                <w:b/>
                <w:sz w:val="22"/>
              </w:rPr>
              <w:br/>
              <w:t>w ha</w:t>
            </w:r>
          </w:p>
        </w:tc>
        <w:tc>
          <w:tcPr>
            <w:tcW w:w="1184"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Położenie</w:t>
            </w:r>
          </w:p>
        </w:tc>
        <w:tc>
          <w:tcPr>
            <w:tcW w:w="1076"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KW nr</w:t>
            </w:r>
          </w:p>
        </w:tc>
        <w:tc>
          <w:tcPr>
            <w:tcW w:w="1642" w:type="dxa"/>
            <w:tcBorders>
              <w:top w:val="outset" w:sz="6" w:space="0" w:color="000001"/>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pPr>
            <w:r>
              <w:rPr>
                <w:b/>
                <w:sz w:val="22"/>
              </w:rPr>
              <w:t>Wysokość czynszu</w:t>
            </w:r>
            <w:r w:rsidR="005B737C">
              <w:rPr>
                <w:b/>
                <w:sz w:val="22"/>
              </w:rPr>
              <w:t xml:space="preserve"> rocznego </w:t>
            </w:r>
            <w:bookmarkStart w:id="0" w:name="_GoBack"/>
            <w:bookmarkEnd w:id="0"/>
          </w:p>
        </w:tc>
        <w:tc>
          <w:tcPr>
            <w:tcW w:w="2089"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Cena wywoławcza</w:t>
            </w:r>
          </w:p>
          <w:p w:rsidR="003C4122" w:rsidRDefault="008178C7" w:rsidP="00FE624D">
            <w:pPr>
              <w:jc w:val="center"/>
              <w:rPr>
                <w:b/>
                <w:sz w:val="22"/>
              </w:rPr>
            </w:pPr>
            <w:r>
              <w:rPr>
                <w:b/>
                <w:sz w:val="22"/>
              </w:rPr>
              <w:t>/w zł</w:t>
            </w:r>
            <w:r w:rsidR="003C4122">
              <w:rPr>
                <w:b/>
                <w:sz w:val="22"/>
              </w:rPr>
              <w:t>/</w:t>
            </w:r>
          </w:p>
        </w:tc>
        <w:tc>
          <w:tcPr>
            <w:tcW w:w="1107" w:type="dxa"/>
            <w:tcBorders>
              <w:top w:val="outset" w:sz="6" w:space="0" w:color="00000A"/>
              <w:left w:val="outset" w:sz="6" w:space="0" w:color="000001"/>
              <w:bottom w:val="outset" w:sz="6" w:space="0" w:color="000001"/>
              <w:right w:val="outset" w:sz="6" w:space="0" w:color="000001"/>
            </w:tcBorders>
            <w:shd w:val="clear" w:color="auto" w:fill="BFBFBF"/>
            <w:tcMar>
              <w:left w:w="-9" w:type="dxa"/>
            </w:tcMar>
          </w:tcPr>
          <w:p w:rsidR="003C4122" w:rsidRDefault="003C4122" w:rsidP="00FE624D">
            <w:pPr>
              <w:jc w:val="center"/>
              <w:rPr>
                <w:b/>
                <w:sz w:val="22"/>
              </w:rPr>
            </w:pPr>
            <w:r>
              <w:rPr>
                <w:b/>
                <w:sz w:val="22"/>
              </w:rPr>
              <w:t>Wadium</w:t>
            </w:r>
          </w:p>
          <w:p w:rsidR="003C4122" w:rsidRDefault="003C4122" w:rsidP="00FE624D">
            <w:pPr>
              <w:jc w:val="center"/>
              <w:rPr>
                <w:b/>
                <w:sz w:val="22"/>
              </w:rPr>
            </w:pPr>
          </w:p>
          <w:p w:rsidR="003C4122" w:rsidRDefault="008178C7" w:rsidP="00FE624D">
            <w:pPr>
              <w:jc w:val="center"/>
              <w:rPr>
                <w:b/>
                <w:sz w:val="22"/>
              </w:rPr>
            </w:pPr>
            <w:r>
              <w:rPr>
                <w:b/>
                <w:sz w:val="22"/>
              </w:rPr>
              <w:t>/w zł/</w:t>
            </w:r>
          </w:p>
        </w:tc>
      </w:tr>
      <w:tr w:rsidR="003C4122" w:rsidTr="00FE624D">
        <w:tc>
          <w:tcPr>
            <w:tcW w:w="321"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3C4122" w:rsidP="00FE624D">
            <w:pPr>
              <w:spacing w:beforeAutospacing="1" w:after="119"/>
              <w:jc w:val="center"/>
            </w:pPr>
            <w:r>
              <w:t>1</w:t>
            </w:r>
          </w:p>
        </w:tc>
        <w:tc>
          <w:tcPr>
            <w:tcW w:w="85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Cz. dz. 280/30</w:t>
            </w:r>
          </w:p>
        </w:tc>
        <w:tc>
          <w:tcPr>
            <w:tcW w:w="89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1,00</w:t>
            </w:r>
          </w:p>
        </w:tc>
        <w:tc>
          <w:tcPr>
            <w:tcW w:w="1184"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Cybinka</w:t>
            </w:r>
          </w:p>
        </w:tc>
        <w:tc>
          <w:tcPr>
            <w:tcW w:w="1076"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25799/0</w:t>
            </w:r>
          </w:p>
        </w:tc>
        <w:tc>
          <w:tcPr>
            <w:tcW w:w="1642"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144,08</w:t>
            </w:r>
          </w:p>
        </w:tc>
        <w:tc>
          <w:tcPr>
            <w:tcW w:w="2089"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center"/>
            </w:pPr>
            <w:r>
              <w:t>144,08</w:t>
            </w:r>
          </w:p>
        </w:tc>
        <w:tc>
          <w:tcPr>
            <w:tcW w:w="1107" w:type="dxa"/>
            <w:tcBorders>
              <w:top w:val="outset" w:sz="6" w:space="0" w:color="000001"/>
              <w:left w:val="outset" w:sz="6" w:space="0" w:color="000001"/>
              <w:bottom w:val="outset" w:sz="6" w:space="0" w:color="000001"/>
              <w:right w:val="outset" w:sz="6" w:space="0" w:color="000001"/>
            </w:tcBorders>
            <w:shd w:val="clear" w:color="auto" w:fill="auto"/>
            <w:tcMar>
              <w:left w:w="-9" w:type="dxa"/>
            </w:tcMar>
            <w:vAlign w:val="center"/>
          </w:tcPr>
          <w:p w:rsidR="003C4122" w:rsidRDefault="008178C7" w:rsidP="00FE624D">
            <w:pPr>
              <w:jc w:val="both"/>
            </w:pPr>
            <w:r>
              <w:t xml:space="preserve"> 73,00</w:t>
            </w:r>
          </w:p>
        </w:tc>
      </w:tr>
    </w:tbl>
    <w:p w:rsidR="003C4122" w:rsidRDefault="003C4122" w:rsidP="003C4122">
      <w:pPr>
        <w:keepNext/>
        <w:suppressAutoHyphens/>
        <w:overflowPunct w:val="0"/>
        <w:ind w:firstLine="708"/>
        <w:jc w:val="both"/>
      </w:pPr>
      <w:r>
        <w:rPr>
          <w:rFonts w:eastAsia="Times New Roman" w:cs="Times New Roman"/>
          <w:szCs w:val="24"/>
          <w:lang w:eastAsia="pl-PL"/>
        </w:rPr>
        <w:t>Przetarg odbędzie się w dniu</w:t>
      </w:r>
      <w:r>
        <w:rPr>
          <w:rFonts w:eastAsia="Times New Roman" w:cs="Times New Roman"/>
          <w:b/>
          <w:szCs w:val="24"/>
          <w:lang w:eastAsia="pl-PL"/>
        </w:rPr>
        <w:t xml:space="preserve"> 1 lipca 2021</w:t>
      </w:r>
      <w:r w:rsidR="008178C7">
        <w:rPr>
          <w:rFonts w:eastAsia="Times New Roman" w:cs="Times New Roman"/>
          <w:b/>
          <w:bCs/>
          <w:szCs w:val="24"/>
          <w:lang w:eastAsia="pl-PL"/>
        </w:rPr>
        <w:t xml:space="preserve"> roku o godz. 11</w:t>
      </w:r>
      <w:r>
        <w:rPr>
          <w:rFonts w:eastAsia="Times New Roman" w:cs="Times New Roman"/>
          <w:b/>
          <w:bCs/>
          <w:szCs w:val="24"/>
          <w:u w:val="single"/>
          <w:vertAlign w:val="superscript"/>
          <w:lang w:eastAsia="pl-PL"/>
        </w:rPr>
        <w:t>30</w:t>
      </w:r>
      <w:r>
        <w:rPr>
          <w:rFonts w:eastAsia="Times New Roman" w:cs="Times New Roman"/>
          <w:b/>
          <w:bCs/>
          <w:szCs w:val="24"/>
          <w:vertAlign w:val="superscript"/>
          <w:lang w:eastAsia="pl-PL"/>
        </w:rPr>
        <w:t xml:space="preserve"> </w:t>
      </w:r>
      <w:r>
        <w:rPr>
          <w:rFonts w:eastAsia="Times New Roman" w:cs="Times New Roman"/>
          <w:szCs w:val="24"/>
          <w:lang w:eastAsia="pl-PL"/>
        </w:rPr>
        <w:t xml:space="preserve"> w sali konferencyjnej Urzędu Miejskiego w Cybince przy ulicy Szkolnej nr 5. Warunkiem przystąpienia </w:t>
      </w:r>
      <w:r>
        <w:rPr>
          <w:rFonts w:eastAsia="Times New Roman" w:cs="Times New Roman"/>
          <w:szCs w:val="24"/>
          <w:lang w:eastAsia="pl-PL"/>
        </w:rPr>
        <w:br/>
        <w:t xml:space="preserve">do przetargu jest wpłacenie wadium w formie pieniężnej w kasie UM w Cybince lub na konto 54 8371 1022 5500 4343 2000 0040 w BS Rzepin Oddział Cybinka w takim terminie, aby najpóźniej w dniu </w:t>
      </w:r>
      <w:r>
        <w:rPr>
          <w:rFonts w:eastAsia="Times New Roman" w:cs="Times New Roman"/>
          <w:b/>
          <w:bCs/>
          <w:szCs w:val="24"/>
          <w:lang w:eastAsia="pl-PL"/>
        </w:rPr>
        <w:t xml:space="preserve">28 czerwca 2021 roku </w:t>
      </w:r>
      <w:r>
        <w:rPr>
          <w:rFonts w:eastAsia="Times New Roman" w:cs="Times New Roman"/>
          <w:bCs/>
          <w:szCs w:val="24"/>
          <w:lang w:eastAsia="pl-PL"/>
        </w:rPr>
        <w:t>wymagana kwota znajdowała się na w/w koncie lub w kasie tutejszego urzędu.</w:t>
      </w:r>
      <w:r>
        <w:rPr>
          <w:rFonts w:eastAsia="Times New Roman" w:cs="Times New Roman"/>
          <w:b/>
          <w:bCs/>
          <w:szCs w:val="24"/>
          <w:lang w:eastAsia="pl-PL"/>
        </w:rPr>
        <w:t xml:space="preserve"> </w:t>
      </w:r>
      <w:r>
        <w:rPr>
          <w:rFonts w:eastAsia="Times New Roman" w:cs="Times New Roman"/>
          <w:szCs w:val="24"/>
          <w:lang w:eastAsia="pl-PL"/>
        </w:rPr>
        <w:t>Komisja przetargowa przed otwarciem przetargu stwierdza wniesienie wadium przez uczestnika przetargu.</w:t>
      </w:r>
    </w:p>
    <w:p w:rsidR="003C4122" w:rsidRDefault="003C4122" w:rsidP="003C4122">
      <w:pPr>
        <w:keepNext/>
        <w:suppressAutoHyphens/>
        <w:overflowPunct w:val="0"/>
        <w:ind w:firstLine="708"/>
      </w:pPr>
      <w:r>
        <w:rPr>
          <w:rFonts w:eastAsia="Times New Roman" w:cs="Times New Roman"/>
          <w:szCs w:val="24"/>
          <w:lang w:eastAsia="pl-PL"/>
        </w:rPr>
        <w:t>Osoba przystępująca do przetargu lub reprezentującą ją powinna posiadać przy sobie dowód tożsamości.</w:t>
      </w:r>
    </w:p>
    <w:p w:rsidR="003C4122" w:rsidRPr="007B74D7" w:rsidRDefault="003C4122" w:rsidP="003C4122">
      <w:pPr>
        <w:suppressAutoHyphens/>
        <w:overflowPunct w:val="0"/>
        <w:jc w:val="both"/>
        <w:rPr>
          <w:rFonts w:eastAsia="Times New Roman" w:cs="Times New Roman"/>
          <w:szCs w:val="24"/>
          <w:lang w:eastAsia="pl-PL"/>
        </w:rPr>
      </w:pPr>
      <w:r>
        <w:rPr>
          <w:rFonts w:eastAsia="Times New Roman" w:cs="Times New Roman"/>
          <w:szCs w:val="24"/>
          <w:lang w:eastAsia="pl-PL"/>
        </w:rPr>
        <w:t xml:space="preserve">Powyższa nieruchomość składa się z następujących użytków: R IV a – 0.030 ha i RV- 0.10 ha. Przedmiotowa nieruchomość była użytkowana rolniczo. </w:t>
      </w:r>
    </w:p>
    <w:p w:rsidR="003C4122" w:rsidRDefault="003C4122" w:rsidP="003C4122">
      <w:pPr>
        <w:keepNext/>
        <w:suppressAutoHyphens/>
        <w:overflowPunct w:val="0"/>
        <w:ind w:firstLine="708"/>
        <w:jc w:val="both"/>
      </w:pPr>
      <w:r>
        <w:rPr>
          <w:rFonts w:eastAsia="Times New Roman" w:cs="Times New Roman"/>
          <w:szCs w:val="24"/>
          <w:lang w:eastAsia="pl-PL"/>
        </w:rPr>
        <w:t>Osoby przystępujące do przetargu samodzielnie, a pozostające w związku małżeńskim, obowiązane są posiadać pisemną zgodę współmałżonka na dzierżawę przedmiotowej nieruchomości lub umowę majątkową małżeńską znoszącą lub odpowiednio ograniczającą wspólność majątkową małżonków oraz pełnomocnictwo do dokonywania</w:t>
      </w:r>
      <w:r>
        <w:rPr>
          <w:rFonts w:eastAsia="Times New Roman" w:cs="Times New Roman"/>
          <w:szCs w:val="24"/>
          <w:lang w:eastAsia="pl-PL"/>
        </w:rPr>
        <w:br/>
        <w:t xml:space="preserve">w imieniu drugiego małżonka wszelkich czynności związanych z postępowaniem przetargowym w tym między innymi wnoszenia wadium, licytowania i podpisywania dokumentów przetargowych. </w:t>
      </w:r>
    </w:p>
    <w:p w:rsidR="003C4122" w:rsidRDefault="003C4122" w:rsidP="003C4122">
      <w:pPr>
        <w:numPr>
          <w:ilvl w:val="2"/>
          <w:numId w:val="1"/>
        </w:numPr>
        <w:ind w:firstLine="567"/>
        <w:jc w:val="both"/>
      </w:pPr>
      <w:r>
        <w:rPr>
          <w:rFonts w:eastAsia="Times New Roman" w:cs="Times New Roman"/>
          <w:szCs w:val="24"/>
          <w:lang w:eastAsia="pl-PL"/>
        </w:rPr>
        <w:t>Przystępujące do przetargu osoby prawne oraz podmioty podlegające wpisowi do KRS zobowiązane są dołączyć aktualny odpis KRS (wydany nie wcześniej, niż w okresie</w:t>
      </w:r>
      <w:r>
        <w:rPr>
          <w:rFonts w:eastAsia="Times New Roman" w:cs="Times New Roman"/>
          <w:szCs w:val="24"/>
          <w:lang w:eastAsia="pl-PL"/>
        </w:rPr>
        <w:br/>
        <w:t>3 miesięcy od daty przetargu) oraz oświadczenie osoby reprezentującej podmiot, że wszelkie dane zawarte w odpisie nie uległy zmianie.</w:t>
      </w:r>
    </w:p>
    <w:p w:rsidR="003C4122" w:rsidRDefault="003C4122" w:rsidP="003C4122">
      <w:pPr>
        <w:numPr>
          <w:ilvl w:val="0"/>
          <w:numId w:val="1"/>
        </w:numPr>
        <w:spacing w:before="120" w:after="120"/>
        <w:ind w:firstLine="567"/>
        <w:jc w:val="both"/>
      </w:pPr>
      <w:r>
        <w:rPr>
          <w:rFonts w:eastAsia="Times New Roman" w:cs="Times New Roman"/>
          <w:szCs w:val="24"/>
          <w:lang w:eastAsia="pl-PL"/>
        </w:rPr>
        <w:t>W zakresie określonym ustawą lub aktem regulującym sposób działania danego podmiotu, osoba reprezentująca przystępującego do przetargu, zobowiązana jest dołączyć uchwałę lub inny właściwy akt prawny właściwego organu, upoważniającą ją do składania oświadczeń w przedmiocie dzierżawy w/w nieruchomości.</w:t>
      </w:r>
    </w:p>
    <w:p w:rsidR="003C4122" w:rsidRDefault="003C4122" w:rsidP="003C4122">
      <w:pPr>
        <w:numPr>
          <w:ilvl w:val="0"/>
          <w:numId w:val="1"/>
        </w:numPr>
        <w:spacing w:before="120" w:after="120"/>
        <w:ind w:firstLine="567"/>
        <w:jc w:val="both"/>
      </w:pPr>
      <w:r>
        <w:rPr>
          <w:rFonts w:eastAsia="Times New Roman" w:cs="Times New Roman"/>
          <w:szCs w:val="24"/>
          <w:lang w:eastAsia="pl-PL"/>
        </w:rPr>
        <w:t>Wspólnicy spółki cywilnej, dokonujący czynności w tym przetargu w zakresie prowadzonej spółki, w przypadku nieobecności wszystkich wspólników, zobowiązani</w:t>
      </w:r>
      <w:r>
        <w:rPr>
          <w:rFonts w:eastAsia="Times New Roman" w:cs="Times New Roman"/>
          <w:szCs w:val="24"/>
          <w:lang w:eastAsia="pl-PL"/>
        </w:rPr>
        <w:br/>
        <w:t>są do dostarczenia zgody pozostałych wspólników spółki, wyrażonej w formie pisemnej albo w formie uchwały wspólników spółki.</w:t>
      </w:r>
    </w:p>
    <w:p w:rsidR="003C4122" w:rsidRDefault="003C4122" w:rsidP="003C4122">
      <w:pPr>
        <w:numPr>
          <w:ilvl w:val="0"/>
          <w:numId w:val="1"/>
        </w:numPr>
        <w:spacing w:before="120" w:after="120"/>
        <w:ind w:firstLine="567"/>
        <w:jc w:val="both"/>
      </w:pPr>
      <w:r>
        <w:rPr>
          <w:rFonts w:eastAsia="Times New Roman" w:cs="Times New Roman"/>
          <w:szCs w:val="24"/>
          <w:lang w:eastAsia="pl-PL"/>
        </w:rPr>
        <w:t>W przypadku, gdy uczestnika przetargu reprezentuje pełnomocnik, jest on zobowiązany</w:t>
      </w:r>
      <w:r>
        <w:rPr>
          <w:rFonts w:eastAsia="Times New Roman" w:cs="Times New Roman"/>
          <w:szCs w:val="24"/>
          <w:lang w:eastAsia="pl-PL"/>
        </w:rPr>
        <w:br/>
        <w:t>do przedłożenia właściwego pełnomocnictwa w formie pisemnej, upoważniającego</w:t>
      </w:r>
      <w:r>
        <w:rPr>
          <w:rFonts w:eastAsia="Times New Roman" w:cs="Times New Roman"/>
          <w:szCs w:val="24"/>
          <w:lang w:eastAsia="pl-PL"/>
        </w:rPr>
        <w:br/>
        <w:t>do dokonania czynności prawnej, podpisanego przez uczestnika postępowania lub jego przedstawiciela ustawowego. Osoba przystępująca do przetargu lub reprezentująca</w:t>
      </w:r>
      <w:r>
        <w:rPr>
          <w:rFonts w:eastAsia="Times New Roman" w:cs="Times New Roman"/>
          <w:szCs w:val="24"/>
          <w:lang w:eastAsia="pl-PL"/>
        </w:rPr>
        <w:br/>
        <w:t>ją powinna posiadać przy sobie dowód tożsamości.</w:t>
      </w:r>
    </w:p>
    <w:p w:rsidR="003C4122" w:rsidRDefault="003C4122" w:rsidP="003C4122">
      <w:pPr>
        <w:spacing w:before="120" w:after="120"/>
        <w:ind w:firstLine="567"/>
        <w:jc w:val="both"/>
      </w:pPr>
      <w:r>
        <w:rPr>
          <w:rFonts w:eastAsia="Times New Roman" w:cs="Times New Roman"/>
          <w:szCs w:val="24"/>
          <w:lang w:eastAsia="pl-PL"/>
        </w:rPr>
        <w:lastRenderedPageBreak/>
        <w:t xml:space="preserve">Wadium wpłacone przez uczestnika wygrywającego przetarg zalicza się w poczet opłat </w:t>
      </w:r>
      <w:r>
        <w:rPr>
          <w:rFonts w:eastAsia="Times New Roman" w:cs="Times New Roman"/>
          <w:szCs w:val="24"/>
          <w:lang w:eastAsia="pl-PL"/>
        </w:rPr>
        <w:br/>
        <w:t xml:space="preserve">z tytułu czynszu dzierżawnego za grunt. Jeżeli osoba ustalona jako dzierżawca nieruchomości nie stawi się bez usprawiedliwienia w miejscu i terminie podanym w zawiadomieniu, Burmistrz odstąpi od zawarcia umowy, a wpłacone wadium nie będzie podlegało zwrotowi. </w:t>
      </w:r>
    </w:p>
    <w:p w:rsidR="003C4122" w:rsidRDefault="003C4122" w:rsidP="003C4122">
      <w:pPr>
        <w:spacing w:before="120" w:after="120"/>
        <w:ind w:firstLine="567"/>
        <w:jc w:val="both"/>
        <w:rPr>
          <w:rFonts w:eastAsia="Times New Roman" w:cs="Times New Roman"/>
          <w:szCs w:val="24"/>
          <w:lang w:eastAsia="pl-PL"/>
        </w:rPr>
      </w:pPr>
      <w:r>
        <w:rPr>
          <w:rFonts w:eastAsia="Times New Roman" w:cs="Times New Roman"/>
          <w:szCs w:val="24"/>
          <w:lang w:eastAsia="pl-PL"/>
        </w:rPr>
        <w:t>Termin płatności czynszu będzie ustalony jednorazowo z góry do 15 lutego każdego roku. Dla umów podpisanych po tym terminie w ciągu 14 dni od dnia podpisania umowy.</w:t>
      </w:r>
    </w:p>
    <w:p w:rsidR="003C4122" w:rsidRDefault="003C4122" w:rsidP="003C4122">
      <w:pPr>
        <w:spacing w:before="120" w:after="120"/>
        <w:ind w:firstLine="567"/>
        <w:jc w:val="both"/>
      </w:pPr>
      <w:r>
        <w:rPr>
          <w:rFonts w:eastAsia="Times New Roman" w:cs="Times New Roman"/>
          <w:szCs w:val="24"/>
          <w:lang w:eastAsia="pl-PL"/>
        </w:rPr>
        <w:t xml:space="preserve">Zwrot wadium dla pozostałych uczestników nastąpi niezwłocznie po przetargu </w:t>
      </w:r>
      <w:r>
        <w:rPr>
          <w:rFonts w:eastAsia="Times New Roman" w:cs="Times New Roman"/>
          <w:szCs w:val="24"/>
          <w:lang w:eastAsia="pl-PL"/>
        </w:rPr>
        <w:br/>
        <w:t>na wskazane konto bankowe, jednak nie później niż przed upływem 3 dni od dnia zamknięcia przetargu.</w:t>
      </w:r>
    </w:p>
    <w:p w:rsidR="003C4122" w:rsidRDefault="003C4122" w:rsidP="003C4122">
      <w:pPr>
        <w:spacing w:before="120" w:after="120"/>
        <w:ind w:firstLine="567"/>
        <w:jc w:val="both"/>
      </w:pPr>
      <w:r>
        <w:rPr>
          <w:rFonts w:eastAsia="Times New Roman" w:cs="Times New Roman"/>
          <w:szCs w:val="24"/>
          <w:lang w:eastAsia="pl-PL"/>
        </w:rPr>
        <w:t>Nieruchomość będąca przedmiotem przetargu jest zwolniona z podatku VAT                     na podstawie § 3 ust. 1 pkt 2 rozporządzenia Ministra Finansów z dnia 20 grudnia 2013 r.                 w sprawie zwolnień od podatku od towarów i usług oraz warunków stosowania tych zezwoleń (Dz. U. Z 2020 r. poz. 106).</w:t>
      </w:r>
    </w:p>
    <w:p w:rsidR="003C4122" w:rsidRDefault="003C4122" w:rsidP="003C4122">
      <w:pPr>
        <w:spacing w:before="120" w:after="120"/>
        <w:jc w:val="both"/>
      </w:pPr>
      <w:r>
        <w:rPr>
          <w:rFonts w:eastAsia="Times New Roman" w:cs="Times New Roman"/>
          <w:szCs w:val="24"/>
          <w:lang w:eastAsia="pl-PL"/>
        </w:rPr>
        <w:tab/>
        <w:t>Przetarg uważa się za zakończony wynikiem negatywnym, jeżeli nikt nie przystąpi        do przetargu lub żaden z uczestników przetargu nie zaoferuje co najmniej jednego postąpienia (wynoszącego nie mniej  niż 10 % wartości czynszu) ponad wartość wywoławczą.</w:t>
      </w:r>
    </w:p>
    <w:p w:rsidR="003C4122" w:rsidRDefault="003C4122" w:rsidP="003C4122">
      <w:pPr>
        <w:spacing w:before="120" w:after="120"/>
        <w:ind w:firstLine="567"/>
        <w:jc w:val="both"/>
      </w:pPr>
      <w:r>
        <w:rPr>
          <w:rFonts w:eastAsia="Times New Roman" w:cs="Times New Roman"/>
          <w:szCs w:val="24"/>
          <w:lang w:eastAsia="pl-PL"/>
        </w:rPr>
        <w:t>Burmistrz zastrzega sobie prawo odwołania przetargu jedynie z ważnych powodów, niezwłocznie podając informację o przyczynie odwołania przetargu do publicznej wiadomości.</w:t>
      </w:r>
    </w:p>
    <w:p w:rsidR="003C4122" w:rsidRDefault="003C4122" w:rsidP="003C4122">
      <w:pPr>
        <w:spacing w:before="120" w:after="120"/>
        <w:ind w:firstLine="567"/>
        <w:jc w:val="both"/>
      </w:pPr>
      <w:r>
        <w:rPr>
          <w:rFonts w:eastAsia="Times New Roman" w:cs="Times New Roman"/>
          <w:szCs w:val="24"/>
          <w:lang w:eastAsia="pl-PL"/>
        </w:rPr>
        <w:t xml:space="preserve">Ogłoszenie o przetargu zostało zamieszczone na tablicy ogłoszeń w tut. Urzędzie oraz na stronie internetowej urzędu </w:t>
      </w:r>
      <w:hyperlink r:id="rId6">
        <w:r>
          <w:rPr>
            <w:rStyle w:val="czeinternetowe"/>
            <w:rFonts w:eastAsia="Times New Roman" w:cs="Times New Roman"/>
            <w:szCs w:val="24"/>
            <w:lang w:eastAsia="pl-PL"/>
          </w:rPr>
          <w:t>www.cybinka.pl</w:t>
        </w:r>
      </w:hyperlink>
      <w:r>
        <w:rPr>
          <w:rFonts w:eastAsia="Times New Roman" w:cs="Times New Roman"/>
          <w:szCs w:val="24"/>
          <w:lang w:eastAsia="pl-PL"/>
        </w:rPr>
        <w:t xml:space="preserve"> i w Biuletynie Informacji Publicznej.</w:t>
      </w:r>
    </w:p>
    <w:p w:rsidR="003C4122" w:rsidRDefault="003C4122" w:rsidP="003C4122">
      <w:pPr>
        <w:spacing w:before="120" w:after="120"/>
        <w:ind w:firstLine="567"/>
        <w:jc w:val="both"/>
      </w:pPr>
      <w:r>
        <w:rPr>
          <w:rFonts w:eastAsia="Times New Roman" w:cs="Times New Roman"/>
          <w:szCs w:val="24"/>
          <w:lang w:eastAsia="pl-PL"/>
        </w:rPr>
        <w:t>Wszelkich informacji dotyczących przetargu i warunków dzierżawy nieruchomości udziela się   w UM w Cybince pok. nr 10a, tel. (68) 3911440 wew. 7.</w:t>
      </w:r>
    </w:p>
    <w:p w:rsidR="003C4122" w:rsidRDefault="003C4122" w:rsidP="003C4122">
      <w:pPr>
        <w:jc w:val="both"/>
        <w:rPr>
          <w:szCs w:val="24"/>
        </w:rPr>
      </w:pPr>
    </w:p>
    <w:p w:rsidR="003C4122" w:rsidRDefault="003C4122" w:rsidP="003C4122">
      <w:pPr>
        <w:jc w:val="both"/>
      </w:pPr>
    </w:p>
    <w:p w:rsidR="00C7503F" w:rsidRDefault="00C7503F"/>
    <w:sectPr w:rsidR="00C7503F">
      <w:pgSz w:w="11906" w:h="16838"/>
      <w:pgMar w:top="993"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9481F"/>
    <w:multiLevelType w:val="multilevel"/>
    <w:tmpl w:val="00B434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22"/>
    <w:rsid w:val="003C4122"/>
    <w:rsid w:val="005B737C"/>
    <w:rsid w:val="008178C7"/>
    <w:rsid w:val="00C7503F"/>
    <w:rsid w:val="00F657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122"/>
    <w:pPr>
      <w:spacing w:after="0" w:line="240" w:lineRule="auto"/>
    </w:pPr>
    <w:rPr>
      <w:rFonts w:ascii="Times New Roman" w:hAnsi="Times New Roman"/>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C4122"/>
    <w:rPr>
      <w:color w:val="000080"/>
      <w:u w:val="single"/>
    </w:rPr>
  </w:style>
  <w:style w:type="paragraph" w:styleId="NormalnyWeb">
    <w:name w:val="Normal (Web)"/>
    <w:basedOn w:val="Normalny"/>
    <w:qFormat/>
    <w:rsid w:val="003C4122"/>
    <w:pPr>
      <w:spacing w:beforeAutospacing="1" w:after="119"/>
    </w:pPr>
    <w:rPr>
      <w:rFonts w:eastAsia="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4122"/>
    <w:pPr>
      <w:spacing w:after="0" w:line="240" w:lineRule="auto"/>
    </w:pPr>
    <w:rPr>
      <w:rFonts w:ascii="Times New Roman" w:hAnsi="Times New Roman"/>
      <w:color w:val="00000A"/>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3C4122"/>
    <w:rPr>
      <w:color w:val="000080"/>
      <w:u w:val="single"/>
    </w:rPr>
  </w:style>
  <w:style w:type="paragraph" w:styleId="NormalnyWeb">
    <w:name w:val="Normal (Web)"/>
    <w:basedOn w:val="Normalny"/>
    <w:qFormat/>
    <w:rsid w:val="003C4122"/>
    <w:pPr>
      <w:spacing w:beforeAutospacing="1" w:after="119"/>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ybin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671</Words>
  <Characters>4029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Petrovic</dc:creator>
  <cp:lastModifiedBy>Snezana Petrovic</cp:lastModifiedBy>
  <cp:revision>2</cp:revision>
  <cp:lastPrinted>2021-06-07T10:55:00Z</cp:lastPrinted>
  <dcterms:created xsi:type="dcterms:W3CDTF">2021-06-07T09:39:00Z</dcterms:created>
  <dcterms:modified xsi:type="dcterms:W3CDTF">2021-06-15T07:41:00Z</dcterms:modified>
</cp:coreProperties>
</file>